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10" w:rsidRDefault="009E6410">
      <w:pPr>
        <w:pStyle w:val="Standard"/>
        <w:spacing w:line="276" w:lineRule="auto"/>
        <w:jc w:val="both"/>
        <w:rPr>
          <w:lang w:val="el-GR"/>
        </w:rPr>
      </w:pPr>
    </w:p>
    <w:p w:rsidR="009E6410" w:rsidRPr="00702B2E" w:rsidRDefault="005B1C31">
      <w:pPr>
        <w:spacing w:line="276" w:lineRule="auto"/>
        <w:jc w:val="center"/>
        <w:rPr>
          <w:rFonts w:ascii="Cambria" w:hAnsi="Cambria"/>
          <w:lang w:val="el-GR"/>
        </w:rPr>
      </w:pPr>
      <w:r w:rsidRPr="005B1C31">
        <w:rPr>
          <w:rFonts w:ascii="Cambria" w:eastAsia="Cambria" w:hAnsi="Cambria" w:cs="Cambria"/>
          <w:b/>
          <w:lang w:val="el-GR"/>
        </w:rPr>
        <w:t xml:space="preserve"> </w:t>
      </w:r>
      <w:r w:rsidRPr="00702B2E">
        <w:rPr>
          <w:rFonts w:ascii="Cambria" w:hAnsi="Cambria" w:cs="Cambria"/>
          <w:b/>
          <w:lang w:val="el-GR"/>
        </w:rPr>
        <w:t xml:space="preserve">Προτεινόμενη διάταξη από το Υπουργείο Πολιτισμού και Αθλητισμού </w:t>
      </w:r>
    </w:p>
    <w:p w:rsidR="009E6410" w:rsidRPr="00702B2E" w:rsidRDefault="005B1C31">
      <w:pPr>
        <w:spacing w:line="276" w:lineRule="auto"/>
        <w:jc w:val="center"/>
        <w:rPr>
          <w:rFonts w:ascii="Cambria" w:hAnsi="Cambria"/>
          <w:lang w:val="el-GR"/>
        </w:rPr>
      </w:pPr>
      <w:r w:rsidRPr="00702B2E">
        <w:rPr>
          <w:rFonts w:ascii="Cambria" w:hAnsi="Cambria" w:cs="Cambria"/>
          <w:b/>
          <w:lang w:val="el-GR"/>
        </w:rPr>
        <w:t xml:space="preserve">για εισαγωγή στον </w:t>
      </w:r>
      <w:r>
        <w:rPr>
          <w:rFonts w:ascii="Cambria" w:hAnsi="Cambria" w:cs="Cambria"/>
          <w:b/>
          <w:lang w:val="el-GR"/>
        </w:rPr>
        <w:t xml:space="preserve">νόμο για την κύρωση </w:t>
      </w:r>
    </w:p>
    <w:p w:rsidR="009E6410" w:rsidRPr="00702B2E" w:rsidRDefault="005B1C31">
      <w:pPr>
        <w:spacing w:line="276" w:lineRule="auto"/>
        <w:jc w:val="center"/>
        <w:rPr>
          <w:rFonts w:ascii="Cambria" w:hAnsi="Cambria"/>
          <w:lang w:val="el-GR"/>
        </w:rPr>
      </w:pPr>
      <w:r>
        <w:rPr>
          <w:rFonts w:ascii="Cambria" w:hAnsi="Cambria" w:cs="Cambria"/>
          <w:b/>
          <w:lang w:val="el-GR"/>
        </w:rPr>
        <w:t>της σύμβασης του Ελληνικού</w:t>
      </w:r>
    </w:p>
    <w:p w:rsidR="009E6410" w:rsidRDefault="009E6410">
      <w:pPr>
        <w:pStyle w:val="Standard"/>
        <w:spacing w:line="276" w:lineRule="auto"/>
        <w:jc w:val="both"/>
        <w:rPr>
          <w:lang w:val="el-GR"/>
        </w:rPr>
      </w:pPr>
    </w:p>
    <w:p w:rsidR="009E6410" w:rsidRDefault="009E6410">
      <w:pPr>
        <w:pStyle w:val="Standard"/>
        <w:spacing w:line="276" w:lineRule="auto"/>
        <w:jc w:val="both"/>
        <w:rPr>
          <w:lang w:val="el-GR"/>
        </w:rPr>
      </w:pPr>
    </w:p>
    <w:p w:rsidR="009E6410" w:rsidRDefault="009E6410">
      <w:pPr>
        <w:pStyle w:val="Standard"/>
        <w:spacing w:line="276" w:lineRule="auto"/>
        <w:jc w:val="both"/>
        <w:rPr>
          <w:lang w:val="el-GR"/>
        </w:rPr>
      </w:pPr>
    </w:p>
    <w:p w:rsidR="009E6410" w:rsidRDefault="005B1C31">
      <w:pPr>
        <w:pStyle w:val="Standard"/>
        <w:spacing w:line="276" w:lineRule="auto"/>
        <w:jc w:val="both"/>
        <w:rPr>
          <w:rFonts w:ascii="Cambria" w:hAnsi="Cambria"/>
          <w:lang w:val="el-GR"/>
        </w:rPr>
      </w:pPr>
      <w:r>
        <w:rPr>
          <w:rFonts w:ascii="Cambria" w:hAnsi="Cambria"/>
          <w:lang w:val="el-GR"/>
        </w:rPr>
        <w:t>Άρθρο....</w:t>
      </w:r>
    </w:p>
    <w:p w:rsidR="009E6410" w:rsidRDefault="009E6410">
      <w:pPr>
        <w:pStyle w:val="Standard"/>
        <w:spacing w:line="276" w:lineRule="auto"/>
        <w:jc w:val="both"/>
        <w:rPr>
          <w:rFonts w:ascii="Cambria" w:hAnsi="Cambria"/>
          <w:lang w:val="el-GR"/>
        </w:rPr>
      </w:pPr>
    </w:p>
    <w:p w:rsidR="009E6410" w:rsidRPr="00702B2E" w:rsidRDefault="005B1C31" w:rsidP="005B1C31">
      <w:pPr>
        <w:pStyle w:val="Standard"/>
        <w:spacing w:line="276" w:lineRule="auto"/>
        <w:ind w:firstLine="706"/>
        <w:jc w:val="both"/>
        <w:rPr>
          <w:rFonts w:ascii="Cambria" w:hAnsi="Cambria"/>
          <w:lang w:val="el-GR"/>
        </w:rPr>
      </w:pPr>
      <w:bookmarkStart w:id="0" w:name="_GoBack"/>
      <w:bookmarkEnd w:id="0"/>
      <w:r>
        <w:rPr>
          <w:rFonts w:ascii="Cambria" w:hAnsi="Cambria"/>
          <w:lang w:val="el-GR"/>
        </w:rPr>
        <w:t xml:space="preserve">Το προεδρικό διάταγμα με το οποίο εγκρίνεται το Σχέδιο Ολοκληρωμένης Ανάπτυξης του Πόλου Ελληνικού – Αγίου Κοσμά κατά το άρθρο 2 του ν. 4062/2012 καθώς και οι κοινές υπουργικές αποφάσεις που εκδίδονται στο στάδιο της εφαρμογής του Σχεδίου Ολοκληρωμένης </w:t>
      </w:r>
      <w:r>
        <w:rPr>
          <w:rFonts w:ascii="Cambria" w:hAnsi="Cambria"/>
          <w:lang w:val="el-GR"/>
        </w:rPr>
        <w:t>Ανάπτυξης  κατά το άρθρο 3 του ίδιου νόμου, υπογράφονται και από τον Υπουργό Πολιτισμού, κατόπιν διαβίβασης από το Γραφείο Ελληνικού της Γενικής Γραμματείας Δημόσιας Περιουσίας του Υπουργείου Οικονομικών των κατά περίπτωση απαιτούμενων μελετών και γνώμη τω</w:t>
      </w:r>
      <w:r>
        <w:rPr>
          <w:rFonts w:ascii="Cambria" w:hAnsi="Cambria"/>
          <w:lang w:val="el-GR"/>
        </w:rPr>
        <w:t xml:space="preserve">ν αρμόδιων υπηρεσιών και οργάνων του Υπουργείου Πολιτισμού και Αθλητισμού. </w:t>
      </w:r>
      <w:r>
        <w:rPr>
          <w:rFonts w:ascii="Cambria" w:hAnsi="Cambria" w:cs="Cambria"/>
          <w:lang w:val="el-GR"/>
        </w:rPr>
        <w:t>Οι αποφάσεις αυτές επέχουν θέση έγκρισης κατά την έννοια των άρθρων 10 (παράγραφοι 3 και 4), 12, 13, 14, 15, 16 και 17 του ν. 3028/2002 (Α’ 153), για έργα και δραστηριότητες που εκτ</w:t>
      </w:r>
      <w:r>
        <w:rPr>
          <w:rFonts w:ascii="Cambria" w:hAnsi="Cambria" w:cs="Cambria"/>
          <w:lang w:val="el-GR"/>
        </w:rPr>
        <w:t>ελούνται πλησίον μνημείων ή εντός αρχαιολογικών χώρων και ιστορικών τόπων, καθώς και για κάθε επέμβαση ή αλλαγή χρήσης σε ακίνητα μνημεία ή στο περιβάλλον τους.</w:t>
      </w:r>
    </w:p>
    <w:p w:rsidR="009E6410" w:rsidRDefault="009E6410">
      <w:pPr>
        <w:pStyle w:val="Standard"/>
        <w:spacing w:line="276" w:lineRule="auto"/>
        <w:jc w:val="both"/>
        <w:rPr>
          <w:rFonts w:ascii="Cambria" w:hAnsi="Cambria"/>
          <w:lang w:val="el-GR"/>
        </w:rPr>
      </w:pPr>
    </w:p>
    <w:p w:rsidR="009E6410" w:rsidRPr="00702B2E" w:rsidRDefault="009E6410">
      <w:pPr>
        <w:spacing w:line="276" w:lineRule="auto"/>
        <w:ind w:left="850"/>
        <w:jc w:val="center"/>
        <w:rPr>
          <w:rFonts w:cs="Cambria"/>
          <w:b/>
          <w:lang w:val="el-GR"/>
        </w:rPr>
      </w:pPr>
    </w:p>
    <w:p w:rsidR="009E6410" w:rsidRPr="00702B2E" w:rsidRDefault="009E6410">
      <w:pPr>
        <w:spacing w:line="276" w:lineRule="auto"/>
        <w:jc w:val="center"/>
        <w:rPr>
          <w:rFonts w:ascii="Cambria" w:hAnsi="Cambria" w:cs="Cambria"/>
          <w:b/>
          <w:u w:val="single"/>
          <w:lang w:val="el-GR"/>
        </w:rPr>
      </w:pPr>
    </w:p>
    <w:p w:rsidR="009E6410" w:rsidRPr="00702B2E" w:rsidRDefault="009E6410">
      <w:pPr>
        <w:spacing w:line="276" w:lineRule="auto"/>
        <w:jc w:val="center"/>
        <w:rPr>
          <w:rFonts w:ascii="Cambria" w:hAnsi="Cambria" w:cs="Cambria"/>
          <w:b/>
          <w:u w:val="single"/>
          <w:lang w:val="el-GR"/>
        </w:rPr>
      </w:pPr>
    </w:p>
    <w:p w:rsidR="009E6410" w:rsidRPr="00702B2E" w:rsidRDefault="005B1C31">
      <w:pPr>
        <w:spacing w:line="276" w:lineRule="auto"/>
        <w:jc w:val="center"/>
        <w:rPr>
          <w:rFonts w:ascii="Cambria" w:hAnsi="Cambria" w:cs="Cambria"/>
          <w:b/>
          <w:u w:val="single"/>
          <w:lang w:val="el-GR"/>
        </w:rPr>
      </w:pPr>
      <w:r w:rsidRPr="00702B2E">
        <w:rPr>
          <w:rFonts w:ascii="Cambria" w:hAnsi="Cambria" w:cs="Cambria"/>
          <w:b/>
          <w:u w:val="single"/>
          <w:lang w:val="el-GR"/>
        </w:rPr>
        <w:t>ΑΙΤΙΟΛΟΓΙΚΗ ΕΚΘΕΣΗ</w:t>
      </w:r>
    </w:p>
    <w:p w:rsidR="009E6410" w:rsidRPr="00702B2E" w:rsidRDefault="009E6410">
      <w:pPr>
        <w:spacing w:line="276" w:lineRule="auto"/>
        <w:jc w:val="center"/>
        <w:rPr>
          <w:rFonts w:ascii="Cambria" w:hAnsi="Cambria" w:cs="Cambria"/>
          <w:b/>
          <w:u w:val="single"/>
          <w:lang w:val="el-GR"/>
        </w:rPr>
      </w:pPr>
    </w:p>
    <w:p w:rsidR="009E6410" w:rsidRPr="00702B2E" w:rsidRDefault="009E6410">
      <w:pPr>
        <w:spacing w:line="276" w:lineRule="auto"/>
        <w:jc w:val="center"/>
        <w:rPr>
          <w:rFonts w:ascii="Cambria" w:hAnsi="Cambria" w:cs="Cambria"/>
          <w:lang w:val="el-GR"/>
        </w:rPr>
      </w:pPr>
    </w:p>
    <w:p w:rsidR="009E6410" w:rsidRPr="00702B2E" w:rsidRDefault="005B1C31">
      <w:pPr>
        <w:spacing w:line="276" w:lineRule="auto"/>
        <w:ind w:right="-57"/>
        <w:jc w:val="both"/>
        <w:rPr>
          <w:rFonts w:ascii="Cambria" w:hAnsi="Cambria" w:cs="Cambria"/>
          <w:lang w:val="el-GR"/>
        </w:rPr>
      </w:pPr>
      <w:r>
        <w:rPr>
          <w:rFonts w:ascii="Cambria" w:hAnsi="Cambria" w:cs="Cambria"/>
          <w:lang w:val="el-GR"/>
        </w:rPr>
        <w:t>Οι προτεινόμενες τροποποιήσεις εντάσσονται στο πλαίσιο αποσαφήνισης τη</w:t>
      </w:r>
      <w:r>
        <w:rPr>
          <w:rFonts w:ascii="Cambria" w:hAnsi="Cambria" w:cs="Cambria"/>
          <w:lang w:val="el-GR"/>
        </w:rPr>
        <w:t>ς ερμηνείας και εφαρμογής των διατάξεων του ν. 4062/2012. Στόχος των εν λόγω διατάξεων είναι ο συγκερασμός αφενός της διασφάλισης των συμφερόντων του Δημοσίου, μέσω της εφαρμογής των διατάξεων του ν. 3028/2002 για την προστασία και ανάδειξη της πολιτιστική</w:t>
      </w:r>
      <w:r>
        <w:rPr>
          <w:rFonts w:ascii="Cambria" w:hAnsi="Cambria" w:cs="Cambria"/>
          <w:lang w:val="el-GR"/>
        </w:rPr>
        <w:t>ς κληρονομιάς, κατά τα πρώτα στάδια των απαιτούμενων εγκρίσεων (έγκριση  Σχεδίου Ολοκληρωμένης Ανάπτυξης (ΣΟΑ) με προεδρικό διάταγμα και εφαρμογή ΣΟΑ με επιμέρους κοινές υπουργικές αποφάσεις) και αφετέρου της επίτευξης της έγκαιρης και προσήκουσας υλοποίησ</w:t>
      </w:r>
      <w:r>
        <w:rPr>
          <w:rFonts w:ascii="Cambria" w:hAnsi="Cambria" w:cs="Cambria"/>
          <w:lang w:val="el-GR"/>
        </w:rPr>
        <w:t xml:space="preserve">ης του έργου. </w:t>
      </w:r>
    </w:p>
    <w:sectPr w:rsidR="009E6410" w:rsidRPr="00702B2E">
      <w:pgSz w:w="11906" w:h="16838"/>
      <w:pgMar w:top="1134" w:right="1127"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Andale Sans U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10"/>
    <w:rsid w:val="005B1C31"/>
    <w:rsid w:val="00702B2E"/>
    <w:rsid w:val="009E6410"/>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95D6"/>
  <w15:docId w15:val="{715D1ABC-FA11-404B-AE70-551DF69A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uppressAutoHyphens/>
      <w:textAlignment w:val="baseline"/>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widowControl w:val="0"/>
      <w:spacing w:before="240" w:after="120"/>
    </w:pPr>
    <w:rPr>
      <w:rFonts w:ascii="Arial" w:hAnsi="Arial"/>
      <w:sz w:val="28"/>
      <w:szCs w:val="28"/>
    </w:rPr>
  </w:style>
  <w:style w:type="paragraph" w:styleId="a4">
    <w:name w:val="Body Text"/>
    <w:basedOn w:val="a"/>
    <w:pPr>
      <w:spacing w:after="140" w:line="288" w:lineRule="auto"/>
    </w:pPr>
  </w:style>
  <w:style w:type="paragraph" w:styleId="a5">
    <w:name w:val="List"/>
    <w:basedOn w:val="a4"/>
    <w:pPr>
      <w:widowControl w:val="0"/>
    </w:pPr>
  </w:style>
  <w:style w:type="paragraph" w:styleId="a6">
    <w:name w:val="caption"/>
    <w:basedOn w:val="Standard"/>
    <w:qFormat/>
    <w:pPr>
      <w:suppressLineNumbers/>
      <w:spacing w:before="120" w:after="120"/>
    </w:pPr>
    <w:rPr>
      <w:i/>
      <w:iCs/>
    </w:rPr>
  </w:style>
  <w:style w:type="paragraph" w:customStyle="1" w:styleId="a7">
    <w:name w:val="Ευρετήριο"/>
    <w:basedOn w:val="a"/>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1431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Στρατής</dc:creator>
  <dc:description/>
  <cp:lastModifiedBy>ΤΡΙΑΝΤΑΦΥΛΛΗ ΚΑΣΤΡΑΝΤΑ</cp:lastModifiedBy>
  <cp:revision>4</cp:revision>
  <cp:lastPrinted>2016-09-05T19:19:00Z</cp:lastPrinted>
  <dcterms:created xsi:type="dcterms:W3CDTF">2016-09-12T10:49:00Z</dcterms:created>
  <dcterms:modified xsi:type="dcterms:W3CDTF">2016-09-12T10:50:00Z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